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F9126" w14:textId="77777777" w:rsidR="00950779" w:rsidRPr="00950779" w:rsidRDefault="00950779" w:rsidP="00950779">
      <w:pPr>
        <w:spacing w:after="0" w:line="240" w:lineRule="auto"/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86"/>
        <w:gridCol w:w="1742"/>
        <w:gridCol w:w="2255"/>
        <w:gridCol w:w="1562"/>
        <w:gridCol w:w="1386"/>
      </w:tblGrid>
      <w:tr w:rsidR="003D119F" w14:paraId="77AEBF0D" w14:textId="77777777" w:rsidTr="005C3D59">
        <w:tc>
          <w:tcPr>
            <w:tcW w:w="2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802D67" w14:textId="77777777" w:rsidR="003D119F" w:rsidRDefault="005C3D59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inline distT="0" distB="0" distL="0" distR="0" wp14:anchorId="651CFCA8" wp14:editId="2415A514">
                  <wp:extent cx="1495425" cy="1524000"/>
                  <wp:effectExtent l="0" t="0" r="9525" b="0"/>
                  <wp:docPr id="1" name="Picture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F5AB703" w14:textId="77777777" w:rsidR="003D119F" w:rsidRDefault="00587632" w:rsidP="005C3D59">
            <w:pPr>
              <w:spacing w:after="0" w:line="240" w:lineRule="auto"/>
              <w:jc w:val="center"/>
              <w:rPr>
                <w:b/>
                <w:shd w:val="clear" w:color="auto" w:fill="C0C0C0"/>
              </w:rPr>
            </w:pPr>
            <w:r>
              <w:rPr>
                <w:b/>
                <w:shd w:val="clear" w:color="auto" w:fill="C0C0C0"/>
              </w:rPr>
              <w:t>UCZELNIANA KSIĘGA  JAKOŚCI KSZTAŁCENIA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62BCBD3" w14:textId="77777777" w:rsidR="003D119F" w:rsidRDefault="00587632" w:rsidP="005C3D59">
            <w:pPr>
              <w:spacing w:after="0" w:line="240" w:lineRule="auto"/>
              <w:jc w:val="center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Symbol</w:t>
            </w:r>
          </w:p>
          <w:p w14:paraId="19374069" w14:textId="77777777" w:rsidR="003D119F" w:rsidRDefault="00587632" w:rsidP="005C3D59">
            <w:pPr>
              <w:spacing w:after="0" w:line="240" w:lineRule="auto"/>
              <w:jc w:val="center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SDJK -O-U1</w:t>
            </w:r>
            <w:r w:rsidR="00724583">
              <w:rPr>
                <w:shd w:val="clear" w:color="auto" w:fill="C0C0C0"/>
              </w:rPr>
              <w:t>4</w:t>
            </w:r>
          </w:p>
        </w:tc>
      </w:tr>
      <w:tr w:rsidR="003D119F" w14:paraId="01406B7B" w14:textId="77777777" w:rsidTr="00E01007">
        <w:trPr>
          <w:trHeight w:val="1350"/>
        </w:trPr>
        <w:tc>
          <w:tcPr>
            <w:tcW w:w="2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45DCC" w14:textId="77777777" w:rsidR="003D119F" w:rsidRDefault="003D119F">
            <w:pPr>
              <w:spacing w:after="0" w:line="240" w:lineRule="auto"/>
            </w:pPr>
          </w:p>
        </w:tc>
        <w:tc>
          <w:tcPr>
            <w:tcW w:w="69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EF0931" w14:textId="77777777" w:rsidR="003D119F" w:rsidRPr="005C3D59" w:rsidRDefault="00587632" w:rsidP="005C3D5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ogrubienie"/>
                <w:rFonts w:cs="Arial"/>
                <w:sz w:val="32"/>
                <w:szCs w:val="32"/>
              </w:rPr>
              <w:t xml:space="preserve">PROCEDURA </w:t>
            </w:r>
            <w:r w:rsidR="00B42C02">
              <w:rPr>
                <w:rStyle w:val="Pogrubienie"/>
                <w:rFonts w:cs="Arial"/>
                <w:sz w:val="32"/>
                <w:szCs w:val="32"/>
              </w:rPr>
              <w:t xml:space="preserve">OKREŚLANIA </w:t>
            </w:r>
            <w:r w:rsidR="005C3D59">
              <w:rPr>
                <w:rStyle w:val="Pogrubienie"/>
                <w:rFonts w:cs="Arial"/>
                <w:sz w:val="32"/>
                <w:szCs w:val="32"/>
              </w:rPr>
              <w:br/>
            </w:r>
            <w:r w:rsidR="00B42C02">
              <w:rPr>
                <w:rStyle w:val="Pogrubienie"/>
                <w:rFonts w:cs="Arial"/>
                <w:sz w:val="32"/>
                <w:szCs w:val="32"/>
              </w:rPr>
              <w:t xml:space="preserve">I ZALICZANIA RÓŻNIC </w:t>
            </w:r>
            <w:r w:rsidR="00101013">
              <w:rPr>
                <w:rStyle w:val="Pogrubienie"/>
                <w:rFonts w:cs="Arial"/>
                <w:sz w:val="32"/>
                <w:szCs w:val="32"/>
              </w:rPr>
              <w:t>P</w:t>
            </w:r>
            <w:r w:rsidR="00B42C02">
              <w:rPr>
                <w:rStyle w:val="Pogrubienie"/>
                <w:rFonts w:cs="Arial"/>
                <w:sz w:val="32"/>
                <w:szCs w:val="32"/>
              </w:rPr>
              <w:t>ROGRAMOWYCH</w:t>
            </w:r>
          </w:p>
        </w:tc>
      </w:tr>
      <w:tr w:rsidR="003D119F" w14:paraId="3B4FBD35" w14:textId="77777777" w:rsidTr="00E01007">
        <w:trPr>
          <w:trHeight w:val="277"/>
        </w:trPr>
        <w:tc>
          <w:tcPr>
            <w:tcW w:w="2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7F686" w14:textId="77777777" w:rsidR="003D119F" w:rsidRDefault="003D119F">
            <w:pPr>
              <w:spacing w:after="0" w:line="240" w:lineRule="auto"/>
            </w:pP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6925EE" w14:textId="77777777" w:rsidR="003D119F" w:rsidRDefault="00587632">
            <w:pPr>
              <w:spacing w:after="0" w:line="240" w:lineRule="auto"/>
            </w:pPr>
            <w:r>
              <w:t>Wydanie 1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E10A18" w14:textId="3885A389" w:rsidR="003D119F" w:rsidRPr="006A4938" w:rsidRDefault="00A14420" w:rsidP="00CF38D7">
            <w:pPr>
              <w:spacing w:after="0" w:line="240" w:lineRule="auto"/>
            </w:pPr>
            <w:r>
              <w:t>2024/2025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4D08DF" w14:textId="2F745171" w:rsidR="003D119F" w:rsidRPr="006A4938" w:rsidRDefault="00587632">
            <w:pPr>
              <w:spacing w:after="0" w:line="240" w:lineRule="auto"/>
            </w:pPr>
            <w:r w:rsidRPr="006A4938">
              <w:t xml:space="preserve">Zmiana </w:t>
            </w:r>
            <w:r w:rsidR="00550A01" w:rsidRPr="006A4938">
              <w:t>2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5A17CC" w14:textId="77777777" w:rsidR="003D119F" w:rsidRDefault="00587632">
            <w:pPr>
              <w:spacing w:after="0" w:line="240" w:lineRule="auto"/>
            </w:pPr>
            <w:r>
              <w:t>Strona 1/2</w:t>
            </w:r>
          </w:p>
        </w:tc>
      </w:tr>
    </w:tbl>
    <w:p w14:paraId="7D1A7AC2" w14:textId="77777777" w:rsidR="003D119F" w:rsidRDefault="003D119F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93"/>
      </w:tblGrid>
      <w:tr w:rsidR="006A4938" w:rsidRPr="006A4938" w14:paraId="6C01A5D4" w14:textId="77777777" w:rsidTr="00E01007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E462E1" w14:textId="77777777" w:rsidR="003D119F" w:rsidRPr="00E01007" w:rsidRDefault="00587632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E01007">
              <w:rPr>
                <w:rFonts w:asciiTheme="minorHAnsi" w:hAnsiTheme="minorHAnsi" w:cstheme="minorHAnsi"/>
                <w:u w:val="single"/>
              </w:rPr>
              <w:t xml:space="preserve">1.Cel  i przedmiot procedury  </w:t>
            </w:r>
          </w:p>
          <w:p w14:paraId="67B7020F" w14:textId="1588FAA3" w:rsidR="003D119F" w:rsidRPr="00E01007" w:rsidRDefault="00AE6CE3" w:rsidP="00AE6CE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 xml:space="preserve">Celem procedury jest </w:t>
            </w:r>
            <w:r w:rsidR="00E906E9" w:rsidRPr="00E01007">
              <w:rPr>
                <w:rFonts w:asciiTheme="minorHAnsi" w:hAnsiTheme="minorHAnsi" w:cstheme="minorHAnsi"/>
              </w:rPr>
              <w:t>ustalenie</w:t>
            </w:r>
            <w:r w:rsidRPr="00E01007">
              <w:rPr>
                <w:rFonts w:asciiTheme="minorHAnsi" w:hAnsiTheme="minorHAnsi" w:cstheme="minorHAnsi"/>
              </w:rPr>
              <w:t xml:space="preserve"> sposobu </w:t>
            </w:r>
            <w:r w:rsidR="00B42C02" w:rsidRPr="00E01007">
              <w:rPr>
                <w:rFonts w:asciiTheme="minorHAnsi" w:hAnsiTheme="minorHAnsi" w:cstheme="minorHAnsi"/>
              </w:rPr>
              <w:t xml:space="preserve">określania i zaliczania </w:t>
            </w:r>
            <w:r w:rsidR="00F916C5" w:rsidRPr="00E01007">
              <w:rPr>
                <w:rFonts w:asciiTheme="minorHAnsi" w:hAnsiTheme="minorHAnsi" w:cstheme="minorHAnsi"/>
              </w:rPr>
              <w:t xml:space="preserve">efektów uczenia się wynikających z </w:t>
            </w:r>
            <w:r w:rsidRPr="00E01007">
              <w:rPr>
                <w:rFonts w:asciiTheme="minorHAnsi" w:hAnsiTheme="minorHAnsi" w:cstheme="minorHAnsi"/>
              </w:rPr>
              <w:t xml:space="preserve">różnic programowych, </w:t>
            </w:r>
            <w:r w:rsidR="00B42C02" w:rsidRPr="00E01007">
              <w:rPr>
                <w:rFonts w:asciiTheme="minorHAnsi" w:hAnsiTheme="minorHAnsi" w:cstheme="minorHAnsi"/>
              </w:rPr>
              <w:t>przez studentów Uniwersytetu Opolskiego.</w:t>
            </w:r>
          </w:p>
          <w:p w14:paraId="72D6E7E4" w14:textId="77777777" w:rsidR="00101013" w:rsidRPr="00E01007" w:rsidRDefault="00101013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398B0BFE" w14:textId="77777777" w:rsidR="003D119F" w:rsidRPr="00E01007" w:rsidRDefault="00587632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E01007">
              <w:rPr>
                <w:rFonts w:asciiTheme="minorHAnsi" w:hAnsiTheme="minorHAnsi" w:cstheme="minorHAnsi"/>
                <w:u w:val="single"/>
              </w:rPr>
              <w:t xml:space="preserve">2. Zakres stosowania procedury </w:t>
            </w:r>
          </w:p>
          <w:p w14:paraId="2657D3FC" w14:textId="08740E22" w:rsidR="00B42C02" w:rsidRPr="00E01007" w:rsidRDefault="00AE6CE3" w:rsidP="00B42C0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Procedura dotyczy studentów studiów stacjonarnych i niestacjonarnych</w:t>
            </w:r>
            <w:r w:rsidR="00F916C5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</w:t>
            </w:r>
            <w:r w:rsidR="002B5CE0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F916C5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drugiego stopnia i studiów jednolitych magisterskich, </w:t>
            </w: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którzy zobowiązani są zaliczyć przedmioty</w:t>
            </w:r>
            <w:r w:rsidR="00F916C5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C3D59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K</w:t>
            </w:r>
            <w:r w:rsidR="00F916C5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artach </w:t>
            </w:r>
            <w:r w:rsidR="000F113C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</w:t>
            </w:r>
            <w:r w:rsidR="00F916C5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których określone są efekty uczenia się </w:t>
            </w: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wymagane do uzyskania pełnych uprawnień zgodnych z kierunkiem studiów i </w:t>
            </w:r>
            <w:r w:rsidR="00CF38D7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realizowanym modułem przedmiotów </w:t>
            </w: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 danego cyklu kształcenia</w:t>
            </w:r>
            <w:r w:rsidR="00B42C02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Procedura dotyczy: </w:t>
            </w:r>
          </w:p>
          <w:p w14:paraId="126C33AE" w14:textId="39FC938D" w:rsidR="00B42C02" w:rsidRPr="00E01007" w:rsidRDefault="00B42C02" w:rsidP="00B42C0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● studentów podejmującyc</w:t>
            </w:r>
            <w:r w:rsidR="00A41296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 naukę po urlopie dziekańskim</w:t>
            </w:r>
            <w:r w:rsid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5C07587A" w14:textId="2D57BECE" w:rsidR="00B42C02" w:rsidRPr="00E01007" w:rsidRDefault="00B42C02" w:rsidP="00B42C0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● studentów zmieniając</w:t>
            </w:r>
            <w:r w:rsidR="00A41296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ych kierunek</w:t>
            </w:r>
            <w:r w:rsidR="005C3D59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studiów</w:t>
            </w:r>
            <w:r w:rsid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20DA17FD" w14:textId="1AD06108" w:rsidR="00B42C02" w:rsidRPr="00E01007" w:rsidRDefault="00B42C02" w:rsidP="00B42C0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● studentów prz</w:t>
            </w:r>
            <w:r w:rsidR="00A41296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enoszących się z innej uczelni</w:t>
            </w:r>
            <w:r w:rsid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69D70C51" w14:textId="44069274" w:rsidR="00B42C02" w:rsidRPr="00E01007" w:rsidRDefault="00B42C02" w:rsidP="00B42C0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● studentów wz</w:t>
            </w:r>
            <w:r w:rsidR="00A41296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nawiających studia po przerwie</w:t>
            </w:r>
            <w:r w:rsid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7A005D3C" w14:textId="77777777" w:rsidR="00374D31" w:rsidRPr="00E01007" w:rsidRDefault="00B42C02" w:rsidP="00B42C0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● inne. </w:t>
            </w:r>
          </w:p>
          <w:p w14:paraId="7B05B084" w14:textId="77777777" w:rsidR="00374D31" w:rsidRPr="00E01007" w:rsidRDefault="00374D31" w:rsidP="00AE6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 xml:space="preserve">Procedura </w:t>
            </w:r>
            <w:r w:rsidRPr="00E01007">
              <w:rPr>
                <w:rFonts w:asciiTheme="minorHAnsi" w:hAnsiTheme="minorHAnsi" w:cstheme="minorHAnsi"/>
                <w:b/>
              </w:rPr>
              <w:t>nie dotyczy:</w:t>
            </w:r>
          </w:p>
          <w:p w14:paraId="2451C38C" w14:textId="77777777" w:rsidR="00374D31" w:rsidRPr="00E01007" w:rsidRDefault="00374D31" w:rsidP="00374D3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● studentów korzystających z p</w:t>
            </w:r>
            <w:r w:rsidR="00A41296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rogramu Erasmus lub MOST.</w:t>
            </w:r>
          </w:p>
          <w:p w14:paraId="6FC7949E" w14:textId="77777777" w:rsidR="000137B2" w:rsidRPr="00E01007" w:rsidRDefault="000137B2" w:rsidP="00374D3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9D6B88" w14:textId="77777777" w:rsidR="003D119F" w:rsidRPr="00E01007" w:rsidRDefault="00587632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E01007">
              <w:rPr>
                <w:rFonts w:asciiTheme="minorHAnsi" w:hAnsiTheme="minorHAnsi" w:cstheme="minorHAnsi"/>
                <w:u w:val="single"/>
              </w:rPr>
              <w:t xml:space="preserve">3. Definicje </w:t>
            </w:r>
          </w:p>
          <w:p w14:paraId="70331D3D" w14:textId="77777777" w:rsidR="00C0600E" w:rsidRPr="00E01007" w:rsidRDefault="00C0600E" w:rsidP="00E01007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3.1. Program studiów </w:t>
            </w:r>
            <w:r w:rsidR="000137B2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 procesu kształcenia prowadzący do uzyskania </w:t>
            </w:r>
            <w:r w:rsidRPr="00E0100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zakładanych efektów </w:t>
            </w:r>
            <w:r w:rsidR="00CF38D7" w:rsidRPr="00E0100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uczenia się</w:t>
            </w:r>
            <w:r w:rsidR="003A2845" w:rsidRPr="00E0100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</w:p>
          <w:p w14:paraId="73F5AF62" w14:textId="3427C509" w:rsidR="00C0600E" w:rsidRPr="00E01007" w:rsidRDefault="00C0600E" w:rsidP="00E0100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3.2. </w:t>
            </w:r>
            <w:r w:rsidR="00E906E9" w:rsidRPr="00E0100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Moduł kształcenia – przedmiot lub grupa przedmiotów, w tym również „Praktyka”, „przygotowanie do pracy dyplomowej” itp.</w:t>
            </w:r>
          </w:p>
          <w:p w14:paraId="3356371E" w14:textId="053C2B3A" w:rsidR="00C0600E" w:rsidRPr="00E01007" w:rsidRDefault="00C0600E" w:rsidP="00E0100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3.3. </w:t>
            </w:r>
            <w:r w:rsidRPr="00E0100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Przedmiot </w:t>
            </w:r>
            <w:r w:rsidR="00E906E9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element programu studiów, obejmujący określone treści tematyczne, dla którego przypisano w programie kształcenia zakładane efekty uczenia się, liczbę punktów ECTS,  realizowany poprzez różne formy zajęć dydaktycznych podlegające ocenie w dokumentacji przebiegu studiów a także w suplemencie do dyplomu.</w:t>
            </w:r>
          </w:p>
          <w:p w14:paraId="0D8D3EC3" w14:textId="09E70774" w:rsidR="00C0600E" w:rsidRPr="00E01007" w:rsidRDefault="00C0600E" w:rsidP="00E0100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3.4. Różnice programowe</w:t>
            </w:r>
            <w:r w:rsidR="00E906E9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137B2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E906E9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85F0F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zaległości wynikając</w:t>
            </w:r>
            <w:r w:rsidR="00E906E9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="00C85F0F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 różnych planów i programów </w:t>
            </w:r>
            <w:r w:rsidR="00F916C5" w:rsidRPr="00E01007">
              <w:rPr>
                <w:rFonts w:asciiTheme="minorHAnsi" w:hAnsiTheme="minorHAnsi" w:cstheme="minorHAnsi"/>
                <w:strike/>
                <w:color w:val="auto"/>
                <w:sz w:val="22"/>
                <w:szCs w:val="22"/>
              </w:rPr>
              <w:t>s</w:t>
            </w:r>
            <w:r w:rsidR="00CF38D7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tudiów</w:t>
            </w:r>
            <w:r w:rsidR="00F916C5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zakresie efektów uczenia się. </w:t>
            </w:r>
          </w:p>
          <w:p w14:paraId="7EAD6F8A" w14:textId="77777777" w:rsidR="00C0600E" w:rsidRPr="00E01007" w:rsidRDefault="00C0600E" w:rsidP="00374D3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9D03E2" w14:textId="1A5E63BE" w:rsidR="00AE6CE3" w:rsidRPr="00E01007" w:rsidRDefault="00587632" w:rsidP="00374D31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E01007">
              <w:rPr>
                <w:rFonts w:asciiTheme="minorHAnsi" w:hAnsiTheme="minorHAnsi" w:cstheme="minorHAnsi"/>
                <w:u w:val="single"/>
              </w:rPr>
              <w:t xml:space="preserve">4. Odpowiedzialność </w:t>
            </w:r>
          </w:p>
          <w:p w14:paraId="48AACD97" w14:textId="2E638929" w:rsidR="00CF38D7" w:rsidRPr="00E01007" w:rsidRDefault="00CF38D7" w:rsidP="00E0100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74" w:hanging="218"/>
              <w:rPr>
                <w:rFonts w:asciiTheme="minorHAnsi" w:hAnsiTheme="minorHAnsi" w:cstheme="minorHAnsi"/>
                <w:u w:val="single"/>
              </w:rPr>
            </w:pPr>
            <w:r w:rsidRPr="00E01007">
              <w:rPr>
                <w:rFonts w:asciiTheme="minorHAnsi" w:hAnsiTheme="minorHAnsi" w:cstheme="minorHAnsi"/>
              </w:rPr>
              <w:t xml:space="preserve">Dziekani </w:t>
            </w:r>
            <w:r w:rsidR="00E01007" w:rsidRPr="00E01007">
              <w:rPr>
                <w:rFonts w:asciiTheme="minorHAnsi" w:hAnsiTheme="minorHAnsi" w:cstheme="minorHAnsi"/>
              </w:rPr>
              <w:t>w</w:t>
            </w:r>
            <w:r w:rsidRPr="00E01007">
              <w:rPr>
                <w:rFonts w:asciiTheme="minorHAnsi" w:hAnsiTheme="minorHAnsi" w:cstheme="minorHAnsi"/>
              </w:rPr>
              <w:t>ydziałów</w:t>
            </w:r>
            <w:r w:rsidR="00E01007" w:rsidRPr="00E01007">
              <w:rPr>
                <w:rFonts w:asciiTheme="minorHAnsi" w:hAnsiTheme="minorHAnsi" w:cstheme="minorHAnsi"/>
              </w:rPr>
              <w:t>,</w:t>
            </w:r>
          </w:p>
          <w:p w14:paraId="5B9E078D" w14:textId="1366C6AC" w:rsidR="00374D31" w:rsidRPr="00E01007" w:rsidRDefault="007B0196" w:rsidP="00E0100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74" w:hanging="218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Dyrektorzy</w:t>
            </w:r>
            <w:bookmarkStart w:id="0" w:name="_GoBack"/>
            <w:bookmarkEnd w:id="0"/>
            <w:r w:rsidR="00374D31" w:rsidRPr="00E01007">
              <w:rPr>
                <w:rFonts w:asciiTheme="minorHAnsi" w:hAnsiTheme="minorHAnsi" w:cstheme="minorHAnsi"/>
              </w:rPr>
              <w:t xml:space="preserve"> jednostek ogólnouczelnianych prowad</w:t>
            </w:r>
            <w:r w:rsidR="00A41296" w:rsidRPr="00E01007">
              <w:rPr>
                <w:rFonts w:asciiTheme="minorHAnsi" w:hAnsiTheme="minorHAnsi" w:cstheme="minorHAnsi"/>
              </w:rPr>
              <w:t>zących działalność dydaktyczną</w:t>
            </w:r>
            <w:r w:rsidR="00E01007" w:rsidRPr="00E01007">
              <w:rPr>
                <w:rFonts w:asciiTheme="minorHAnsi" w:hAnsiTheme="minorHAnsi" w:cstheme="minorHAnsi"/>
              </w:rPr>
              <w:t>,</w:t>
            </w:r>
          </w:p>
          <w:p w14:paraId="58948310" w14:textId="3688D9FA" w:rsidR="00AE6CE3" w:rsidRPr="00E01007" w:rsidRDefault="00AE6CE3" w:rsidP="00E0100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74" w:hanging="218"/>
              <w:rPr>
                <w:rFonts w:asciiTheme="minorHAnsi" w:hAnsiTheme="minorHAnsi" w:cstheme="minorHAnsi"/>
                <w:u w:val="single"/>
              </w:rPr>
            </w:pPr>
            <w:r w:rsidRPr="00E01007">
              <w:rPr>
                <w:rFonts w:asciiTheme="minorHAnsi" w:hAnsiTheme="minorHAnsi" w:cstheme="minorHAnsi"/>
              </w:rPr>
              <w:t>St</w:t>
            </w:r>
            <w:r w:rsidR="00374D31" w:rsidRPr="00E01007">
              <w:rPr>
                <w:rFonts w:asciiTheme="minorHAnsi" w:hAnsiTheme="minorHAnsi" w:cstheme="minorHAnsi"/>
              </w:rPr>
              <w:t>udenci zobowiązani do zaliczenia</w:t>
            </w:r>
            <w:r w:rsidR="00A41296" w:rsidRPr="00E01007">
              <w:rPr>
                <w:rFonts w:asciiTheme="minorHAnsi" w:hAnsiTheme="minorHAnsi" w:cstheme="minorHAnsi"/>
              </w:rPr>
              <w:t xml:space="preserve"> różnic programowych</w:t>
            </w:r>
            <w:r w:rsidR="00E01007" w:rsidRPr="00E01007">
              <w:rPr>
                <w:rFonts w:asciiTheme="minorHAnsi" w:hAnsiTheme="minorHAnsi" w:cstheme="minorHAnsi"/>
              </w:rPr>
              <w:t>,</w:t>
            </w:r>
          </w:p>
          <w:p w14:paraId="26ED0E26" w14:textId="74BE6C0F" w:rsidR="00E906E9" w:rsidRPr="00E01007" w:rsidRDefault="00E906E9" w:rsidP="00E01007">
            <w:pPr>
              <w:pStyle w:val="Default"/>
              <w:numPr>
                <w:ilvl w:val="0"/>
                <w:numId w:val="10"/>
              </w:numPr>
              <w:ind w:left="174" w:hanging="21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Koordynator kierunku we współpracy z pracownikiem, stanowiącym jego wsparcie:</w:t>
            </w:r>
          </w:p>
          <w:p w14:paraId="484462B3" w14:textId="24384DAB" w:rsidR="00E906E9" w:rsidRPr="00E01007" w:rsidRDefault="00E906E9" w:rsidP="00E01007">
            <w:pPr>
              <w:pStyle w:val="Default"/>
              <w:numPr>
                <w:ilvl w:val="0"/>
                <w:numId w:val="10"/>
              </w:numPr>
              <w:ind w:left="174" w:hanging="218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Pracownik dziekanatu prowadzący sprawy studenckie danego kierunku i modułu studiów na etapie wdrażania do systemu USOS.</w:t>
            </w:r>
          </w:p>
          <w:p w14:paraId="1F0857D7" w14:textId="77777777" w:rsidR="008B108A" w:rsidRPr="00E01007" w:rsidRDefault="008B108A" w:rsidP="008B108A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9470A0" w14:textId="70EECC52" w:rsidR="000F113C" w:rsidRPr="00E01007" w:rsidRDefault="000F113C" w:rsidP="000F113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. Sposób postępowania w przypadku studentów podejmujący</w:t>
            </w:r>
            <w:r w:rsidR="00E01007" w:rsidRPr="00E01007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ch naukę po urlopie dziekańskim</w:t>
            </w:r>
          </w:p>
          <w:p w14:paraId="7B5C7CD3" w14:textId="1B060241" w:rsidR="000F113C" w:rsidRPr="00E01007" w:rsidRDefault="00E01007" w:rsidP="00E0100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5.1. </w:t>
            </w:r>
            <w:r w:rsidR="000F113C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Student, którego dotyczy procedura, za pośrednictwem dziekanatu (bądź przez USOSweb) składa do Dziekana wniosek o urlop dziekański, w którym określa okres trwania urlopu. </w:t>
            </w:r>
          </w:p>
          <w:p w14:paraId="1EDDA076" w14:textId="73BC5D6B" w:rsidR="000F113C" w:rsidRPr="00E01007" w:rsidRDefault="000F113C" w:rsidP="00E0100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5.2. Po złożeniu wniosku koordynator kierunku weryfikuje ewentualne różnice programowe oraz inne warunki pozwalające na powrót studenta po urlopie.</w:t>
            </w:r>
          </w:p>
          <w:p w14:paraId="5474EAA8" w14:textId="6590F2EB" w:rsidR="00AE6CE3" w:rsidRPr="00E01007" w:rsidRDefault="008B108A" w:rsidP="008B108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5.3. </w:t>
            </w:r>
            <w:r w:rsidR="000F113C"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przypadku pozytywnej weryfikacji, dziekan wydaje decyzję o udzieleniu urlopu i kontynuowaniu studiów, w której określa semestr, na który wraca student po urlopie oraz różnice programowe, które student zobowiązany jest zaliczyć, jeśli takie zostały stwierdzone przez koordynatora kierunku</w:t>
            </w: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oraz termin kiedy należy te różnice uzupełnić.</w:t>
            </w:r>
          </w:p>
          <w:p w14:paraId="245B13D0" w14:textId="77777777" w:rsidR="003D119F" w:rsidRPr="00E01007" w:rsidRDefault="003D119F" w:rsidP="00374D3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13D1CD" w14:textId="24710250" w:rsidR="003D119F" w:rsidRPr="00E01007" w:rsidRDefault="000F113C" w:rsidP="00E15C77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E01007">
              <w:rPr>
                <w:rFonts w:asciiTheme="minorHAnsi" w:hAnsiTheme="minorHAnsi" w:cstheme="minorHAnsi"/>
                <w:u w:val="single"/>
              </w:rPr>
              <w:t>6</w:t>
            </w:r>
            <w:r w:rsidR="00587632" w:rsidRPr="00E01007">
              <w:rPr>
                <w:rFonts w:asciiTheme="minorHAnsi" w:hAnsiTheme="minorHAnsi" w:cstheme="minorHAnsi"/>
                <w:u w:val="single"/>
              </w:rPr>
              <w:t xml:space="preserve">. Sposób postępowania </w:t>
            </w:r>
            <w:r w:rsidR="00B57DCC" w:rsidRPr="00E01007">
              <w:rPr>
                <w:rFonts w:asciiTheme="minorHAnsi" w:hAnsiTheme="minorHAnsi" w:cstheme="minorHAnsi"/>
                <w:u w:val="single"/>
              </w:rPr>
              <w:t xml:space="preserve">w przypadku wznowienia studiów </w:t>
            </w:r>
          </w:p>
          <w:p w14:paraId="74648AFF" w14:textId="5DBA90D1" w:rsidR="004211A8" w:rsidRPr="00E01007" w:rsidRDefault="00E01007" w:rsidP="00E15C7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6</w:t>
            </w:r>
            <w:r w:rsidR="004211A8" w:rsidRPr="00E01007">
              <w:rPr>
                <w:rFonts w:asciiTheme="minorHAnsi" w:hAnsiTheme="minorHAnsi" w:cstheme="minorHAnsi"/>
              </w:rPr>
              <w:t xml:space="preserve">.1. Student, którego dotyczy procedura, za pośrednictwem dziekanatu </w:t>
            </w:r>
            <w:r w:rsidR="008B108A" w:rsidRPr="00E01007">
              <w:rPr>
                <w:rFonts w:asciiTheme="minorHAnsi" w:hAnsiTheme="minorHAnsi" w:cstheme="minorHAnsi"/>
              </w:rPr>
              <w:t xml:space="preserve">(bądź przez USOSweb) </w:t>
            </w:r>
            <w:r w:rsidR="004211A8" w:rsidRPr="00E01007">
              <w:rPr>
                <w:rFonts w:asciiTheme="minorHAnsi" w:hAnsiTheme="minorHAnsi" w:cstheme="minorHAnsi"/>
              </w:rPr>
              <w:t xml:space="preserve">składa do </w:t>
            </w:r>
            <w:r w:rsidR="00F916C5" w:rsidRPr="00E01007">
              <w:rPr>
                <w:rFonts w:asciiTheme="minorHAnsi" w:hAnsiTheme="minorHAnsi" w:cstheme="minorHAnsi"/>
              </w:rPr>
              <w:t>Dziekana</w:t>
            </w:r>
            <w:r w:rsidR="004211A8" w:rsidRPr="00E01007">
              <w:rPr>
                <w:rFonts w:asciiTheme="minorHAnsi" w:hAnsiTheme="minorHAnsi" w:cstheme="minorHAnsi"/>
              </w:rPr>
              <w:t xml:space="preserve">, podanie w którym zwraca się z prośbą </w:t>
            </w:r>
            <w:r w:rsidR="00AE6CE3" w:rsidRPr="00E01007">
              <w:rPr>
                <w:rFonts w:asciiTheme="minorHAnsi" w:hAnsiTheme="minorHAnsi" w:cstheme="minorHAnsi"/>
              </w:rPr>
              <w:t>o wpi</w:t>
            </w:r>
            <w:r w:rsidR="00F916C5" w:rsidRPr="00E01007">
              <w:rPr>
                <w:rFonts w:asciiTheme="minorHAnsi" w:hAnsiTheme="minorHAnsi" w:cstheme="minorHAnsi"/>
              </w:rPr>
              <w:t>sanie na określony rok, semestr i</w:t>
            </w:r>
            <w:r w:rsidR="00592393" w:rsidRPr="00E01007">
              <w:rPr>
                <w:rFonts w:asciiTheme="minorHAnsi" w:hAnsiTheme="minorHAnsi" w:cstheme="minorHAnsi"/>
              </w:rPr>
              <w:t xml:space="preserve"> kierunek studiów.</w:t>
            </w:r>
          </w:p>
          <w:p w14:paraId="27EDA4AE" w14:textId="51004AB9" w:rsidR="00B57DCC" w:rsidRPr="00E01007" w:rsidRDefault="00E01007" w:rsidP="00B57DC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6</w:t>
            </w:r>
            <w:r w:rsidR="00C24BBD" w:rsidRPr="00E01007">
              <w:rPr>
                <w:rFonts w:asciiTheme="minorHAnsi" w:hAnsiTheme="minorHAnsi" w:cstheme="minorHAnsi"/>
              </w:rPr>
              <w:t xml:space="preserve">.2. </w:t>
            </w:r>
            <w:r w:rsidR="00B57DCC" w:rsidRPr="00E01007">
              <w:rPr>
                <w:rFonts w:asciiTheme="minorHAnsi" w:hAnsiTheme="minorHAnsi" w:cstheme="minorHAnsi"/>
              </w:rPr>
              <w:t>Po złożeniu wniosku koordynator kierunku weryfikuje ewentualne różnice programowe oraz inne warunki pozwalające na wznowienie studiów.</w:t>
            </w:r>
          </w:p>
          <w:p w14:paraId="6D068CAF" w14:textId="038B89C5" w:rsidR="00AB4097" w:rsidRPr="00E01007" w:rsidRDefault="00E01007" w:rsidP="00AB409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6</w:t>
            </w:r>
            <w:r w:rsidR="00C24BBD" w:rsidRPr="00E01007">
              <w:rPr>
                <w:rFonts w:asciiTheme="minorHAnsi" w:hAnsiTheme="minorHAnsi" w:cstheme="minorHAnsi"/>
              </w:rPr>
              <w:t xml:space="preserve">.3.  W przypadku pozytywnej weryfikacji, dziekan wydaje decyzję o przywróceniu praw studenta i kontynuowaniu studiów, </w:t>
            </w:r>
            <w:r w:rsidR="00AB4097" w:rsidRPr="00E01007">
              <w:rPr>
                <w:rFonts w:asciiTheme="minorHAnsi" w:hAnsiTheme="minorHAnsi" w:cstheme="minorHAnsi"/>
              </w:rPr>
              <w:t>w której określa semestr, na który przyjęty będzie student, ewentualne zajęcia, które student zobowiązany jest odpłatnie powtórzyć oraz różnice</w:t>
            </w:r>
            <w:r w:rsidR="00B57DCC" w:rsidRPr="00E01007">
              <w:rPr>
                <w:rFonts w:asciiTheme="minorHAnsi" w:hAnsiTheme="minorHAnsi" w:cstheme="minorHAnsi"/>
              </w:rPr>
              <w:t xml:space="preserve"> programowe</w:t>
            </w:r>
            <w:r w:rsidR="00AB4097" w:rsidRPr="00E01007">
              <w:rPr>
                <w:rFonts w:asciiTheme="minorHAnsi" w:hAnsiTheme="minorHAnsi" w:cstheme="minorHAnsi"/>
              </w:rPr>
              <w:t>, które student zobowiązany jest zaliczyć</w:t>
            </w:r>
            <w:r w:rsidR="00C92F3B" w:rsidRPr="00E01007">
              <w:rPr>
                <w:rFonts w:asciiTheme="minorHAnsi" w:hAnsiTheme="minorHAnsi" w:cstheme="minorHAnsi"/>
              </w:rPr>
              <w:t>,</w:t>
            </w:r>
            <w:r w:rsidR="00AB4097" w:rsidRPr="00E01007">
              <w:rPr>
                <w:rFonts w:asciiTheme="minorHAnsi" w:hAnsiTheme="minorHAnsi" w:cstheme="minorHAnsi"/>
              </w:rPr>
              <w:t xml:space="preserve"> jeśli takie zostały stwierdzone przez koordynatora kierunku</w:t>
            </w:r>
            <w:r w:rsidR="008B108A" w:rsidRPr="00E01007">
              <w:rPr>
                <w:rFonts w:asciiTheme="minorHAnsi" w:hAnsiTheme="minorHAnsi" w:cstheme="minorHAnsi"/>
              </w:rPr>
              <w:t xml:space="preserve"> oraz termin kiedy należy te różnice uzupełnić.</w:t>
            </w:r>
          </w:p>
          <w:p w14:paraId="40EADF29" w14:textId="4101E401" w:rsidR="00C24BBD" w:rsidRPr="00E01007" w:rsidRDefault="00E01007" w:rsidP="00C24BB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6</w:t>
            </w:r>
            <w:r w:rsidR="00AB4097" w:rsidRPr="00E01007">
              <w:rPr>
                <w:rFonts w:asciiTheme="minorHAnsi" w:hAnsiTheme="minorHAnsi" w:cstheme="minorHAnsi"/>
              </w:rPr>
              <w:t>.4. Uzupełnienie różnic programowych jest nieodpłatne.</w:t>
            </w:r>
          </w:p>
          <w:p w14:paraId="1B01EB07" w14:textId="77777777" w:rsidR="00B57DCC" w:rsidRPr="00E01007" w:rsidRDefault="00B57DCC" w:rsidP="00E15C77">
            <w:pPr>
              <w:spacing w:after="0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6950CD12" w14:textId="05EF995A" w:rsidR="00764EE8" w:rsidRPr="00E01007" w:rsidRDefault="00E01007" w:rsidP="00E15C77">
            <w:pPr>
              <w:spacing w:after="0"/>
              <w:jc w:val="both"/>
              <w:rPr>
                <w:rFonts w:asciiTheme="minorHAnsi" w:hAnsiTheme="minorHAnsi" w:cstheme="minorHAnsi"/>
                <w:u w:val="single"/>
              </w:rPr>
            </w:pPr>
            <w:r w:rsidRPr="00E01007">
              <w:rPr>
                <w:rFonts w:asciiTheme="minorHAnsi" w:hAnsiTheme="minorHAnsi" w:cstheme="minorHAnsi"/>
                <w:u w:val="single"/>
              </w:rPr>
              <w:t>7</w:t>
            </w:r>
            <w:r w:rsidR="00B57DCC" w:rsidRPr="00E01007">
              <w:rPr>
                <w:rFonts w:asciiTheme="minorHAnsi" w:hAnsiTheme="minorHAnsi" w:cstheme="minorHAnsi"/>
                <w:u w:val="single"/>
              </w:rPr>
              <w:t>. Sposób postępowania w przypadku przeniesienia na pok</w:t>
            </w:r>
            <w:r w:rsidRPr="00E01007">
              <w:rPr>
                <w:rFonts w:asciiTheme="minorHAnsi" w:hAnsiTheme="minorHAnsi" w:cstheme="minorHAnsi"/>
                <w:u w:val="single"/>
              </w:rPr>
              <w:t>rewny kierunek w ramach Uczelni</w:t>
            </w:r>
          </w:p>
          <w:p w14:paraId="32030F24" w14:textId="1F2E763D" w:rsidR="00764EE8" w:rsidRPr="00E01007" w:rsidRDefault="00E01007" w:rsidP="00E01007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E01007">
              <w:rPr>
                <w:rFonts w:asciiTheme="minorHAnsi" w:hAnsiTheme="minorHAnsi" w:cstheme="minorHAnsi"/>
              </w:rPr>
              <w:t>7</w:t>
            </w:r>
            <w:r w:rsidR="00764EE8" w:rsidRPr="00E01007">
              <w:rPr>
                <w:rFonts w:asciiTheme="minorHAnsi" w:hAnsiTheme="minorHAnsi" w:cstheme="minorHAnsi"/>
              </w:rPr>
              <w:t xml:space="preserve">.1. </w:t>
            </w:r>
            <w:r w:rsidR="00764EE8" w:rsidRPr="00E01007">
              <w:rPr>
                <w:rFonts w:asciiTheme="minorHAnsi" w:hAnsiTheme="minorHAnsi" w:cstheme="minorHAnsi"/>
                <w:lang w:eastAsia="pl-PL"/>
              </w:rPr>
              <w:t>Student, po zaliczeniu pierwszego semestru studiów pierwszego lub drugiego stopnia lub jednolitych studiów magisterskich,</w:t>
            </w:r>
            <w:r w:rsidR="00E906E9" w:rsidRPr="00E01007">
              <w:rPr>
                <w:rFonts w:asciiTheme="minorHAnsi" w:hAnsiTheme="minorHAnsi" w:cstheme="minorHAnsi"/>
              </w:rPr>
              <w:t xml:space="preserve"> </w:t>
            </w:r>
            <w:r w:rsidR="00E906E9" w:rsidRPr="00E01007">
              <w:rPr>
                <w:rFonts w:asciiTheme="minorHAnsi" w:hAnsiTheme="minorHAnsi" w:cstheme="minorHAnsi"/>
                <w:lang w:eastAsia="pl-PL"/>
              </w:rPr>
              <w:t xml:space="preserve">a w przypadku kierunku lekarskiego – po dwóch semestrach, </w:t>
            </w:r>
            <w:r w:rsidR="00764EE8" w:rsidRPr="00E01007">
              <w:rPr>
                <w:rFonts w:asciiTheme="minorHAnsi" w:hAnsiTheme="minorHAnsi" w:cstheme="minorHAnsi"/>
                <w:lang w:eastAsia="pl-PL"/>
              </w:rPr>
              <w:t xml:space="preserve"> może ubiegać się o przeniesienie na pokrewny kierunek w ramach Uczelni</w:t>
            </w:r>
            <w:r w:rsidR="00C92F3B" w:rsidRPr="00E0100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64EE8" w:rsidRPr="00E01007">
              <w:rPr>
                <w:rFonts w:asciiTheme="minorHAnsi" w:hAnsiTheme="minorHAnsi" w:cstheme="minorHAnsi"/>
                <w:lang w:eastAsia="pl-PL"/>
              </w:rPr>
              <w:t xml:space="preserve"> za zgodą dziekanów obu wydziałów</w:t>
            </w:r>
            <w:r w:rsidR="00C92F3B" w:rsidRPr="00E01007">
              <w:rPr>
                <w:rFonts w:asciiTheme="minorHAnsi" w:hAnsiTheme="minorHAnsi" w:cstheme="minorHAnsi"/>
                <w:lang w:eastAsia="pl-PL"/>
              </w:rPr>
              <w:t>,</w:t>
            </w:r>
            <w:r w:rsidR="00764EE8" w:rsidRPr="00E01007">
              <w:rPr>
                <w:rFonts w:asciiTheme="minorHAnsi" w:hAnsiTheme="minorHAnsi" w:cstheme="minorHAnsi"/>
                <w:lang w:eastAsia="pl-PL"/>
              </w:rPr>
              <w:t xml:space="preserve"> po uzyskaniu opinii koordynatorów kierunku w zakresie różnic programowych.</w:t>
            </w:r>
          </w:p>
          <w:p w14:paraId="0913E410" w14:textId="72CDABDC" w:rsidR="00764EE8" w:rsidRPr="00E01007" w:rsidRDefault="00E01007" w:rsidP="00E01007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E01007">
              <w:rPr>
                <w:rFonts w:asciiTheme="minorHAnsi" w:hAnsiTheme="minorHAnsi" w:cstheme="minorHAnsi"/>
                <w:lang w:eastAsia="pl-PL"/>
              </w:rPr>
              <w:t>7</w:t>
            </w:r>
            <w:r w:rsidR="00764EE8" w:rsidRPr="00E01007">
              <w:rPr>
                <w:rFonts w:asciiTheme="minorHAnsi" w:hAnsiTheme="minorHAnsi" w:cstheme="minorHAnsi"/>
                <w:lang w:eastAsia="pl-PL"/>
              </w:rPr>
              <w:t>.2. Semestr, na którym będzie studiował student i różnice programowe, które student zobowiązany jest uzupełnić określa dziekan wydziału</w:t>
            </w:r>
            <w:r w:rsidR="00C92F3B" w:rsidRPr="00E01007">
              <w:rPr>
                <w:rFonts w:asciiTheme="minorHAnsi" w:hAnsiTheme="minorHAnsi" w:cstheme="minorHAnsi"/>
                <w:lang w:eastAsia="pl-PL"/>
              </w:rPr>
              <w:t>,</w:t>
            </w:r>
            <w:r w:rsidR="00764EE8" w:rsidRPr="00E01007">
              <w:rPr>
                <w:rFonts w:asciiTheme="minorHAnsi" w:hAnsiTheme="minorHAnsi" w:cstheme="minorHAnsi"/>
                <w:lang w:eastAsia="pl-PL"/>
              </w:rPr>
              <w:t xml:space="preserve"> na który przeniesiony został student.</w:t>
            </w:r>
          </w:p>
          <w:p w14:paraId="2822A3A5" w14:textId="53ECC430" w:rsidR="00764EE8" w:rsidRPr="00E01007" w:rsidRDefault="00764EE8" w:rsidP="00764EE8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lang w:eastAsia="pl-PL"/>
              </w:rPr>
            </w:pPr>
          </w:p>
          <w:p w14:paraId="6D8D1694" w14:textId="7B41BE37" w:rsidR="00764EE8" w:rsidRPr="00E01007" w:rsidRDefault="00E01007" w:rsidP="00764EE8">
            <w:pPr>
              <w:spacing w:after="0"/>
              <w:jc w:val="both"/>
              <w:rPr>
                <w:rFonts w:asciiTheme="minorHAnsi" w:hAnsiTheme="minorHAnsi" w:cstheme="minorHAnsi"/>
                <w:u w:val="single"/>
              </w:rPr>
            </w:pPr>
            <w:r w:rsidRPr="00E01007">
              <w:rPr>
                <w:rFonts w:asciiTheme="minorHAnsi" w:hAnsiTheme="minorHAnsi" w:cstheme="minorHAnsi"/>
                <w:u w:val="single"/>
              </w:rPr>
              <w:t>8</w:t>
            </w:r>
            <w:r w:rsidR="00764EE8" w:rsidRPr="00E01007">
              <w:rPr>
                <w:rFonts w:asciiTheme="minorHAnsi" w:hAnsiTheme="minorHAnsi" w:cstheme="minorHAnsi"/>
                <w:u w:val="single"/>
              </w:rPr>
              <w:t>. Sposób postępowania w przypadku przeniesienia z innej  u</w:t>
            </w:r>
            <w:r w:rsidRPr="00E01007">
              <w:rPr>
                <w:rFonts w:asciiTheme="minorHAnsi" w:hAnsiTheme="minorHAnsi" w:cstheme="minorHAnsi"/>
                <w:u w:val="single"/>
              </w:rPr>
              <w:t>czelni lub uczelni zagranicznej</w:t>
            </w:r>
          </w:p>
          <w:p w14:paraId="56A7B631" w14:textId="6ADF8F58" w:rsidR="008610FF" w:rsidRPr="00E01007" w:rsidRDefault="00E01007" w:rsidP="00E0100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8</w:t>
            </w:r>
            <w:r w:rsidR="00764EE8" w:rsidRPr="00E01007">
              <w:rPr>
                <w:rFonts w:asciiTheme="minorHAnsi" w:hAnsiTheme="minorHAnsi" w:cstheme="minorHAnsi"/>
              </w:rPr>
              <w:t xml:space="preserve">.1. </w:t>
            </w:r>
            <w:r w:rsidR="008610FF" w:rsidRPr="00E01007">
              <w:rPr>
                <w:rFonts w:asciiTheme="minorHAnsi" w:hAnsiTheme="minorHAnsi" w:cstheme="minorHAnsi"/>
              </w:rPr>
              <w:t xml:space="preserve">Student, który przenosi się z innej uczelni lub uczelni zagranicznej zobowiązany jest dostarczyć do dziekanatu (14 dni przed rozpoczęciem roku akademickiego </w:t>
            </w:r>
            <w:r w:rsidR="00E906E9" w:rsidRPr="00E01007">
              <w:rPr>
                <w:rFonts w:asciiTheme="minorHAnsi" w:hAnsiTheme="minorHAnsi" w:cstheme="minorHAnsi"/>
              </w:rPr>
              <w:t>zgodnie z Regulaminem</w:t>
            </w:r>
            <w:r w:rsidR="008B108A" w:rsidRPr="00E01007">
              <w:rPr>
                <w:rFonts w:asciiTheme="minorHAnsi" w:hAnsiTheme="minorHAnsi" w:cstheme="minorHAnsi"/>
              </w:rPr>
              <w:t xml:space="preserve">, jednak nie później niż 7 dni od rozpoczęcia roku akademickiego) </w:t>
            </w:r>
            <w:r w:rsidR="008610FF" w:rsidRPr="00E01007">
              <w:rPr>
                <w:rFonts w:asciiTheme="minorHAnsi" w:hAnsiTheme="minorHAnsi" w:cstheme="minorHAnsi"/>
              </w:rPr>
              <w:t>dokumentację osiągnięć studenta/kartę okresowych osiągnięć studenta oraz karty przedmiotów, w których określono efekty uczenia się, które uzyskał w toku dotychczasowej nauki.</w:t>
            </w:r>
          </w:p>
          <w:p w14:paraId="7D26DB35" w14:textId="28F24745" w:rsidR="00764EE8" w:rsidRPr="00E01007" w:rsidRDefault="00E01007" w:rsidP="00E0100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8</w:t>
            </w:r>
            <w:r w:rsidR="00764EE8" w:rsidRPr="00E01007">
              <w:rPr>
                <w:rFonts w:asciiTheme="minorHAnsi" w:hAnsiTheme="minorHAnsi" w:cstheme="minorHAnsi"/>
              </w:rPr>
              <w:t>.2. Koordynator kierunku, na podstawie</w:t>
            </w:r>
            <w:r w:rsidR="00C92F3B" w:rsidRPr="00E01007">
              <w:rPr>
                <w:rFonts w:asciiTheme="minorHAnsi" w:hAnsiTheme="minorHAnsi" w:cstheme="minorHAnsi"/>
              </w:rPr>
              <w:t xml:space="preserve"> dokumentacji dostarczonej przez studenta</w:t>
            </w:r>
            <w:r w:rsidR="00764EE8" w:rsidRPr="00E01007">
              <w:rPr>
                <w:rFonts w:asciiTheme="minorHAnsi" w:hAnsiTheme="minorHAnsi" w:cstheme="minorHAnsi"/>
              </w:rPr>
              <w:t xml:space="preserve"> dokonuje weryfikacji i porównania zgodności efektów uczenia się/treści programowych przypisanych do przedmiotów/modułów z efektami uczenia się</w:t>
            </w:r>
            <w:r w:rsidR="00C92F3B" w:rsidRPr="00E01007">
              <w:rPr>
                <w:rFonts w:asciiTheme="minorHAnsi" w:hAnsiTheme="minorHAnsi" w:cstheme="minorHAnsi"/>
              </w:rPr>
              <w:t xml:space="preserve"> określonymi</w:t>
            </w:r>
            <w:r w:rsidR="00764EE8" w:rsidRPr="00E01007">
              <w:rPr>
                <w:rFonts w:asciiTheme="minorHAnsi" w:hAnsiTheme="minorHAnsi" w:cstheme="minorHAnsi"/>
              </w:rPr>
              <w:t xml:space="preserve"> w programie studiów </w:t>
            </w:r>
            <w:r w:rsidR="003B7762" w:rsidRPr="00E01007">
              <w:rPr>
                <w:rFonts w:asciiTheme="minorHAnsi" w:hAnsiTheme="minorHAnsi" w:cstheme="minorHAnsi"/>
              </w:rPr>
              <w:t>którego dotyczy wniosek.</w:t>
            </w:r>
          </w:p>
          <w:p w14:paraId="6F0C4539" w14:textId="6101E938" w:rsidR="008A0104" w:rsidRPr="00E01007" w:rsidRDefault="00E01007" w:rsidP="00E0100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8</w:t>
            </w:r>
            <w:r w:rsidR="008A0104" w:rsidRPr="00E01007">
              <w:rPr>
                <w:rFonts w:asciiTheme="minorHAnsi" w:hAnsiTheme="minorHAnsi" w:cstheme="minorHAnsi"/>
              </w:rPr>
              <w:t>.3. W przypadku stwierdzenia różnic programowych</w:t>
            </w:r>
            <w:r w:rsidR="00C92F3B" w:rsidRPr="00E01007">
              <w:rPr>
                <w:rFonts w:asciiTheme="minorHAnsi" w:hAnsiTheme="minorHAnsi" w:cstheme="minorHAnsi"/>
              </w:rPr>
              <w:t xml:space="preserve"> (</w:t>
            </w:r>
            <w:r w:rsidR="008A0104" w:rsidRPr="00E01007">
              <w:rPr>
                <w:rFonts w:asciiTheme="minorHAnsi" w:hAnsiTheme="minorHAnsi" w:cstheme="minorHAnsi"/>
              </w:rPr>
              <w:t>w wyniku przeprowadzonej weryfikacji</w:t>
            </w:r>
            <w:r w:rsidR="00C92F3B" w:rsidRPr="00E01007">
              <w:rPr>
                <w:rFonts w:asciiTheme="minorHAnsi" w:hAnsiTheme="minorHAnsi" w:cstheme="minorHAnsi"/>
              </w:rPr>
              <w:t xml:space="preserve">), </w:t>
            </w:r>
            <w:r w:rsidR="008A0104" w:rsidRPr="00E01007">
              <w:rPr>
                <w:rFonts w:asciiTheme="minorHAnsi" w:hAnsiTheme="minorHAnsi" w:cstheme="minorHAnsi"/>
              </w:rPr>
              <w:t xml:space="preserve"> koordynator kierunku określa przedmioty, które student zobowiązany jest zrealizować w celu uzupełnienia różnic programowych.</w:t>
            </w:r>
          </w:p>
          <w:p w14:paraId="69CA591E" w14:textId="0697F051" w:rsidR="00D52677" w:rsidRPr="00E01007" w:rsidRDefault="00E01007" w:rsidP="00E0100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8</w:t>
            </w:r>
            <w:r w:rsidR="008A0104" w:rsidRPr="00E01007">
              <w:rPr>
                <w:rFonts w:asciiTheme="minorHAnsi" w:hAnsiTheme="minorHAnsi" w:cstheme="minorHAnsi"/>
              </w:rPr>
              <w:t xml:space="preserve">.4. </w:t>
            </w:r>
            <w:r w:rsidR="00D52677" w:rsidRPr="00E01007">
              <w:rPr>
                <w:rFonts w:asciiTheme="minorHAnsi" w:hAnsiTheme="minorHAnsi" w:cstheme="minorHAnsi"/>
              </w:rPr>
              <w:t>Dziekan określa semestr, na który zostanie przyjęty student, uwzględniając przeniesione zaliczenia i egzaminy</w:t>
            </w:r>
            <w:r w:rsidR="008B108A" w:rsidRPr="00E01007">
              <w:rPr>
                <w:rFonts w:asciiTheme="minorHAnsi" w:hAnsiTheme="minorHAnsi" w:cstheme="minorHAnsi"/>
              </w:rPr>
              <w:t xml:space="preserve"> raz punkty ECTS. </w:t>
            </w:r>
          </w:p>
          <w:p w14:paraId="02091779" w14:textId="09E53B14" w:rsidR="000F3802" w:rsidRPr="00E01007" w:rsidRDefault="00E01007" w:rsidP="00E0100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8</w:t>
            </w:r>
            <w:r w:rsidR="00B06E10" w:rsidRPr="00E01007">
              <w:rPr>
                <w:rFonts w:asciiTheme="minorHAnsi" w:hAnsiTheme="minorHAnsi" w:cstheme="minorHAnsi"/>
              </w:rPr>
              <w:t xml:space="preserve">.5. </w:t>
            </w:r>
            <w:r w:rsidR="000F3802" w:rsidRPr="00E01007">
              <w:rPr>
                <w:rFonts w:asciiTheme="minorHAnsi" w:hAnsiTheme="minorHAnsi" w:cstheme="minorHAnsi"/>
              </w:rPr>
              <w:t xml:space="preserve">W przypadku znacznych rozbieżności osiągniętych efektów uczenia się w innej uczelni lub uczelni zagranicznej, w stosunku do efektów uczenia się osiąganych w </w:t>
            </w:r>
            <w:r w:rsidR="003B7762" w:rsidRPr="00E01007">
              <w:rPr>
                <w:rFonts w:asciiTheme="minorHAnsi" w:hAnsiTheme="minorHAnsi" w:cstheme="minorHAnsi"/>
              </w:rPr>
              <w:t>UO</w:t>
            </w:r>
            <w:r w:rsidR="000F3802" w:rsidRPr="00E01007">
              <w:rPr>
                <w:rFonts w:asciiTheme="minorHAnsi" w:hAnsiTheme="minorHAnsi" w:cstheme="minorHAnsi"/>
              </w:rPr>
              <w:t>, przyjęcie na studia może nastąpić na semestr studiów odpowiednio niższy, niż ten którego wniosek dotyczył.</w:t>
            </w:r>
          </w:p>
          <w:p w14:paraId="6F004CE7" w14:textId="4D9667E1" w:rsidR="00B06E10" w:rsidRPr="00E01007" w:rsidRDefault="00E01007" w:rsidP="00E0100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01007">
              <w:rPr>
                <w:rFonts w:asciiTheme="minorHAnsi" w:hAnsiTheme="minorHAnsi" w:cstheme="minorHAnsi"/>
              </w:rPr>
              <w:t>8</w:t>
            </w:r>
            <w:r w:rsidR="003B7762" w:rsidRPr="00E01007">
              <w:rPr>
                <w:rFonts w:asciiTheme="minorHAnsi" w:hAnsiTheme="minorHAnsi" w:cstheme="minorHAnsi"/>
              </w:rPr>
              <w:t>.6</w:t>
            </w:r>
            <w:r w:rsidR="000F3802" w:rsidRPr="00E01007">
              <w:rPr>
                <w:rFonts w:asciiTheme="minorHAnsi" w:hAnsiTheme="minorHAnsi" w:cstheme="minorHAnsi"/>
              </w:rPr>
              <w:t>. Różnice programowe, nie mogą przekraczać łącznie 30</w:t>
            </w:r>
            <w:r w:rsidR="003B7762" w:rsidRPr="00E01007">
              <w:rPr>
                <w:rFonts w:asciiTheme="minorHAnsi" w:hAnsiTheme="minorHAnsi" w:cstheme="minorHAnsi"/>
              </w:rPr>
              <w:t xml:space="preserve"> </w:t>
            </w:r>
            <w:r w:rsidR="000F3802" w:rsidRPr="00E01007">
              <w:rPr>
                <w:rFonts w:asciiTheme="minorHAnsi" w:hAnsiTheme="minorHAnsi" w:cstheme="minorHAnsi"/>
              </w:rPr>
              <w:t>punktów ECTS.</w:t>
            </w:r>
          </w:p>
          <w:p w14:paraId="1B343983" w14:textId="4B2D4BE6" w:rsidR="008A0104" w:rsidRDefault="008A0104" w:rsidP="008A0104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6B060A55" w14:textId="698157D5" w:rsidR="00AE6CE3" w:rsidRPr="00E01007" w:rsidRDefault="00E01007" w:rsidP="00AE6CE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  <w:r w:rsidRPr="00E01007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9</w:t>
            </w:r>
            <w:r w:rsidR="00306E1D" w:rsidRPr="00E01007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 xml:space="preserve">. </w:t>
            </w:r>
            <w:r w:rsidR="00AE6CE3" w:rsidRPr="00E01007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Podstawa prawna</w:t>
            </w:r>
          </w:p>
          <w:p w14:paraId="4E9FAF0E" w14:textId="1B1390FD" w:rsidR="000538C9" w:rsidRDefault="00E01007" w:rsidP="00E01007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01007">
              <w:rPr>
                <w:rFonts w:asciiTheme="minorHAnsi" w:eastAsia="Times New Roman" w:hAnsiTheme="minorHAnsi" w:cstheme="minorHAnsi"/>
              </w:rPr>
              <w:t>9</w:t>
            </w:r>
            <w:r w:rsidR="000538C9" w:rsidRPr="00E01007">
              <w:rPr>
                <w:rFonts w:asciiTheme="minorHAnsi" w:eastAsia="Times New Roman" w:hAnsiTheme="minorHAnsi" w:cstheme="minorHAnsi"/>
              </w:rPr>
              <w:t>.1. Uchwała nr 167/2020-2024 Senatu UO z dnia 11.04.2022 r. w sprawie zmiany i ogłoszenia tekstu jednolitego uchwały nr 186/2016-2020 Senatu Uniwersytetu Opolskiego z dnia 25 kwietnia 2019 r. w sprawie Regulaminu Studiów Uniwersytetu Opolskiego</w:t>
            </w:r>
          </w:p>
          <w:p w14:paraId="58AE0669" w14:textId="1FF95110" w:rsidR="00F63342" w:rsidRPr="00E01007" w:rsidRDefault="00F63342" w:rsidP="00F63342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9.2. Uchwała nr 13/2024–2028 Senatu Uniwersytetu Opolskiego z dnia 27 marca 2025 r. </w:t>
            </w:r>
            <w:r w:rsidRPr="00F63342">
              <w:rPr>
                <w:rFonts w:asciiTheme="minorHAnsi" w:eastAsia="Times New Roman" w:hAnsiTheme="minorHAnsi" w:cstheme="minorHAnsi"/>
              </w:rPr>
              <w:t>w sprawie: zmiany i ogłoszenia tekstu j</w:t>
            </w:r>
            <w:r>
              <w:rPr>
                <w:rFonts w:asciiTheme="minorHAnsi" w:eastAsia="Times New Roman" w:hAnsiTheme="minorHAnsi" w:cstheme="minorHAnsi"/>
              </w:rPr>
              <w:t>ednolitego uchwały nr 186/2016-</w:t>
            </w:r>
            <w:r w:rsidRPr="00F63342">
              <w:rPr>
                <w:rFonts w:asciiTheme="minorHAnsi" w:eastAsia="Times New Roman" w:hAnsiTheme="minorHAnsi" w:cstheme="minorHAnsi"/>
              </w:rPr>
              <w:t>2020 Senatu Uniwersytetu Opolskiego z dnia 25</w:t>
            </w:r>
            <w:r>
              <w:rPr>
                <w:rFonts w:asciiTheme="minorHAnsi" w:eastAsia="Times New Roman" w:hAnsiTheme="minorHAnsi" w:cstheme="minorHAnsi"/>
              </w:rPr>
              <w:t xml:space="preserve"> kwietnia </w:t>
            </w:r>
            <w:r w:rsidRPr="00F63342">
              <w:rPr>
                <w:rFonts w:asciiTheme="minorHAnsi" w:eastAsia="Times New Roman" w:hAnsiTheme="minorHAnsi" w:cstheme="minorHAnsi"/>
              </w:rPr>
              <w:t xml:space="preserve">2019 r. w sprawie </w:t>
            </w:r>
            <w:r>
              <w:rPr>
                <w:rFonts w:asciiTheme="minorHAnsi" w:eastAsia="Times New Roman" w:hAnsiTheme="minorHAnsi" w:cstheme="minorHAnsi"/>
              </w:rPr>
              <w:t>Regulaminu Studiów Uniwersytetu Opolskiego</w:t>
            </w:r>
          </w:p>
          <w:p w14:paraId="4119894A" w14:textId="756CD6CA" w:rsidR="006361AC" w:rsidRPr="00E01007" w:rsidRDefault="00E01007" w:rsidP="00E01007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01007">
              <w:rPr>
                <w:rFonts w:asciiTheme="minorHAnsi" w:eastAsia="Times New Roman" w:hAnsiTheme="minorHAnsi" w:cstheme="minorHAnsi"/>
              </w:rPr>
              <w:t>9</w:t>
            </w:r>
            <w:r w:rsidR="003B7762" w:rsidRPr="00E01007">
              <w:rPr>
                <w:rFonts w:asciiTheme="minorHAnsi" w:eastAsia="Times New Roman" w:hAnsiTheme="minorHAnsi" w:cstheme="minorHAnsi"/>
              </w:rPr>
              <w:t>.</w:t>
            </w:r>
            <w:r w:rsidR="00F63342">
              <w:rPr>
                <w:rFonts w:asciiTheme="minorHAnsi" w:eastAsia="Times New Roman" w:hAnsiTheme="minorHAnsi" w:cstheme="minorHAnsi"/>
              </w:rPr>
              <w:t>3</w:t>
            </w:r>
            <w:r w:rsidR="000538C9" w:rsidRPr="00E01007">
              <w:rPr>
                <w:rFonts w:asciiTheme="minorHAnsi" w:eastAsia="Times New Roman" w:hAnsiTheme="minorHAnsi" w:cstheme="minorHAnsi"/>
              </w:rPr>
              <w:t>. Załącznik nr 1 do uchwały nr 167/2020-2024 Senatu Uniwersytetu Opolskiego z dnia 11 kwietnia 2022 r.</w:t>
            </w:r>
          </w:p>
          <w:p w14:paraId="08088A56" w14:textId="1C7C4DBE" w:rsidR="00C002AF" w:rsidRPr="00E01007" w:rsidRDefault="00E01007" w:rsidP="00E01007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E01007">
              <w:rPr>
                <w:rFonts w:asciiTheme="minorHAnsi" w:eastAsia="Times New Roman" w:hAnsiTheme="minorHAnsi" w:cstheme="minorHAnsi"/>
              </w:rPr>
              <w:lastRenderedPageBreak/>
              <w:t>9</w:t>
            </w:r>
            <w:r w:rsidR="00F63342">
              <w:rPr>
                <w:rFonts w:asciiTheme="minorHAnsi" w:eastAsia="Times New Roman" w:hAnsiTheme="minorHAnsi" w:cstheme="minorHAnsi"/>
              </w:rPr>
              <w:t>.4</w:t>
            </w:r>
            <w:r w:rsidR="003B7762" w:rsidRPr="00E01007">
              <w:rPr>
                <w:rFonts w:asciiTheme="minorHAnsi" w:eastAsia="Times New Roman" w:hAnsiTheme="minorHAnsi" w:cstheme="minorHAnsi"/>
              </w:rPr>
              <w:t>.</w:t>
            </w:r>
            <w:r w:rsidR="00C002AF" w:rsidRPr="00E01007">
              <w:rPr>
                <w:rFonts w:asciiTheme="minorHAnsi" w:eastAsia="Times New Roman" w:hAnsiTheme="minorHAnsi" w:cstheme="minorHAnsi"/>
              </w:rPr>
              <w:t xml:space="preserve"> Zarządzenie Nr 282015 Rektora Uniwersytetu Opolskiego z dnia 31 sierpnia 2015 r. w sprawie: wprowadzenia zmian w Procedurach Jakości Kształcenia obowiązujących w Uniwersytecie Opolskim</w:t>
            </w:r>
          </w:p>
          <w:p w14:paraId="362607AF" w14:textId="77777777" w:rsidR="006F628F" w:rsidRPr="006A4938" w:rsidRDefault="006F628F" w:rsidP="005C10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643AD61" w14:textId="77777777" w:rsidR="003D119F" w:rsidRDefault="003D119F">
      <w:pPr>
        <w:spacing w:line="240" w:lineRule="auto"/>
      </w:pPr>
    </w:p>
    <w:sectPr w:rsidR="003D119F" w:rsidSect="00E01007">
      <w:pgSz w:w="11906" w:h="16838"/>
      <w:pgMar w:top="851" w:right="0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9CD36" w14:textId="77777777" w:rsidR="00376D70" w:rsidRDefault="00376D70" w:rsidP="00E01007">
      <w:pPr>
        <w:spacing w:after="0" w:line="240" w:lineRule="auto"/>
      </w:pPr>
      <w:r>
        <w:separator/>
      </w:r>
    </w:p>
  </w:endnote>
  <w:endnote w:type="continuationSeparator" w:id="0">
    <w:p w14:paraId="79560062" w14:textId="77777777" w:rsidR="00376D70" w:rsidRDefault="00376D70" w:rsidP="00E0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D8C83" w14:textId="77777777" w:rsidR="00376D70" w:rsidRDefault="00376D70" w:rsidP="00E01007">
      <w:pPr>
        <w:spacing w:after="0" w:line="240" w:lineRule="auto"/>
      </w:pPr>
      <w:r>
        <w:separator/>
      </w:r>
    </w:p>
  </w:footnote>
  <w:footnote w:type="continuationSeparator" w:id="0">
    <w:p w14:paraId="298A9DEB" w14:textId="77777777" w:rsidR="00376D70" w:rsidRDefault="00376D70" w:rsidP="00E01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079"/>
    <w:multiLevelType w:val="multilevel"/>
    <w:tmpl w:val="FEC2DC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3714CE"/>
    <w:multiLevelType w:val="hybridMultilevel"/>
    <w:tmpl w:val="B55C3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F5307"/>
    <w:multiLevelType w:val="hybridMultilevel"/>
    <w:tmpl w:val="078E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7055D"/>
    <w:multiLevelType w:val="multilevel"/>
    <w:tmpl w:val="BFA2660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0578E1"/>
    <w:multiLevelType w:val="hybridMultilevel"/>
    <w:tmpl w:val="449EE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4741B"/>
    <w:multiLevelType w:val="hybridMultilevel"/>
    <w:tmpl w:val="E64C9D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004B6"/>
    <w:multiLevelType w:val="hybridMultilevel"/>
    <w:tmpl w:val="CEC4D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3323F"/>
    <w:multiLevelType w:val="hybridMultilevel"/>
    <w:tmpl w:val="AEB856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7206619"/>
    <w:multiLevelType w:val="hybridMultilevel"/>
    <w:tmpl w:val="3B1C1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670C3"/>
    <w:multiLevelType w:val="hybridMultilevel"/>
    <w:tmpl w:val="92A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BDB"/>
    <w:multiLevelType w:val="multilevel"/>
    <w:tmpl w:val="709C9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9F"/>
    <w:rsid w:val="000137B2"/>
    <w:rsid w:val="00032806"/>
    <w:rsid w:val="000538C9"/>
    <w:rsid w:val="000B5620"/>
    <w:rsid w:val="000B61A1"/>
    <w:rsid w:val="000C71B5"/>
    <w:rsid w:val="000F113C"/>
    <w:rsid w:val="000F296D"/>
    <w:rsid w:val="000F3802"/>
    <w:rsid w:val="00101013"/>
    <w:rsid w:val="00117C8B"/>
    <w:rsid w:val="00146E56"/>
    <w:rsid w:val="0019093E"/>
    <w:rsid w:val="00191F69"/>
    <w:rsid w:val="001F086F"/>
    <w:rsid w:val="0020706D"/>
    <w:rsid w:val="00212AA2"/>
    <w:rsid w:val="00230888"/>
    <w:rsid w:val="00237C0C"/>
    <w:rsid w:val="00260FE1"/>
    <w:rsid w:val="00297BBB"/>
    <w:rsid w:val="002A184D"/>
    <w:rsid w:val="002B5CE0"/>
    <w:rsid w:val="002C57AA"/>
    <w:rsid w:val="002C6883"/>
    <w:rsid w:val="00306E1D"/>
    <w:rsid w:val="0031250E"/>
    <w:rsid w:val="00317D73"/>
    <w:rsid w:val="00324A6B"/>
    <w:rsid w:val="003463B6"/>
    <w:rsid w:val="00374D31"/>
    <w:rsid w:val="003759A4"/>
    <w:rsid w:val="00376D70"/>
    <w:rsid w:val="003920DC"/>
    <w:rsid w:val="003A2845"/>
    <w:rsid w:val="003B7762"/>
    <w:rsid w:val="003C6D00"/>
    <w:rsid w:val="003D119F"/>
    <w:rsid w:val="003F7377"/>
    <w:rsid w:val="00420B4F"/>
    <w:rsid w:val="004211A8"/>
    <w:rsid w:val="00425DB8"/>
    <w:rsid w:val="004469F6"/>
    <w:rsid w:val="0045527B"/>
    <w:rsid w:val="004B1132"/>
    <w:rsid w:val="004C1000"/>
    <w:rsid w:val="004C4485"/>
    <w:rsid w:val="004D2334"/>
    <w:rsid w:val="004F0C75"/>
    <w:rsid w:val="004F4972"/>
    <w:rsid w:val="004F4E95"/>
    <w:rsid w:val="00533F8F"/>
    <w:rsid w:val="00550A01"/>
    <w:rsid w:val="00587632"/>
    <w:rsid w:val="00592393"/>
    <w:rsid w:val="005C0393"/>
    <w:rsid w:val="005C1002"/>
    <w:rsid w:val="005C3D59"/>
    <w:rsid w:val="005F6816"/>
    <w:rsid w:val="00601578"/>
    <w:rsid w:val="006361AC"/>
    <w:rsid w:val="00644692"/>
    <w:rsid w:val="0064733E"/>
    <w:rsid w:val="00651438"/>
    <w:rsid w:val="00661945"/>
    <w:rsid w:val="006A4938"/>
    <w:rsid w:val="006B71FA"/>
    <w:rsid w:val="006C2892"/>
    <w:rsid w:val="006C7F5F"/>
    <w:rsid w:val="006E16BD"/>
    <w:rsid w:val="006F628F"/>
    <w:rsid w:val="007032EF"/>
    <w:rsid w:val="00724583"/>
    <w:rsid w:val="007408E7"/>
    <w:rsid w:val="00741FBC"/>
    <w:rsid w:val="0075307F"/>
    <w:rsid w:val="00764EE8"/>
    <w:rsid w:val="007858C6"/>
    <w:rsid w:val="007B0196"/>
    <w:rsid w:val="007E3B18"/>
    <w:rsid w:val="007F11E3"/>
    <w:rsid w:val="008331F0"/>
    <w:rsid w:val="008610FF"/>
    <w:rsid w:val="00880B6F"/>
    <w:rsid w:val="008A0104"/>
    <w:rsid w:val="008A3D12"/>
    <w:rsid w:val="008B108A"/>
    <w:rsid w:val="00945B84"/>
    <w:rsid w:val="00950779"/>
    <w:rsid w:val="00961312"/>
    <w:rsid w:val="0096624D"/>
    <w:rsid w:val="009B6CAB"/>
    <w:rsid w:val="009B7569"/>
    <w:rsid w:val="00A14420"/>
    <w:rsid w:val="00A41296"/>
    <w:rsid w:val="00A42E47"/>
    <w:rsid w:val="00A62DD1"/>
    <w:rsid w:val="00A70271"/>
    <w:rsid w:val="00A73CB6"/>
    <w:rsid w:val="00A832A8"/>
    <w:rsid w:val="00AB4097"/>
    <w:rsid w:val="00AE6CE3"/>
    <w:rsid w:val="00AF0130"/>
    <w:rsid w:val="00B0363D"/>
    <w:rsid w:val="00B04393"/>
    <w:rsid w:val="00B06E10"/>
    <w:rsid w:val="00B2769F"/>
    <w:rsid w:val="00B42C02"/>
    <w:rsid w:val="00B57DCC"/>
    <w:rsid w:val="00BA473C"/>
    <w:rsid w:val="00BA54D0"/>
    <w:rsid w:val="00BC2AF2"/>
    <w:rsid w:val="00BD5E6D"/>
    <w:rsid w:val="00C002AF"/>
    <w:rsid w:val="00C0600E"/>
    <w:rsid w:val="00C1172B"/>
    <w:rsid w:val="00C24BBD"/>
    <w:rsid w:val="00C32ADC"/>
    <w:rsid w:val="00C341EF"/>
    <w:rsid w:val="00C416E4"/>
    <w:rsid w:val="00C62F71"/>
    <w:rsid w:val="00C71B26"/>
    <w:rsid w:val="00C736D0"/>
    <w:rsid w:val="00C75B4E"/>
    <w:rsid w:val="00C85F0F"/>
    <w:rsid w:val="00C92F3B"/>
    <w:rsid w:val="00CA250A"/>
    <w:rsid w:val="00CF38D7"/>
    <w:rsid w:val="00D17014"/>
    <w:rsid w:val="00D52677"/>
    <w:rsid w:val="00D95D1A"/>
    <w:rsid w:val="00DA0988"/>
    <w:rsid w:val="00E01007"/>
    <w:rsid w:val="00E15C77"/>
    <w:rsid w:val="00E906E9"/>
    <w:rsid w:val="00E92CED"/>
    <w:rsid w:val="00EA499B"/>
    <w:rsid w:val="00EB1067"/>
    <w:rsid w:val="00F04DD0"/>
    <w:rsid w:val="00F264EC"/>
    <w:rsid w:val="00F310E7"/>
    <w:rsid w:val="00F42724"/>
    <w:rsid w:val="00F42B53"/>
    <w:rsid w:val="00F55ADE"/>
    <w:rsid w:val="00F63342"/>
    <w:rsid w:val="00F678D0"/>
    <w:rsid w:val="00F916C5"/>
    <w:rsid w:val="00FB1052"/>
    <w:rsid w:val="00FD3E43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0465"/>
  <w15:docId w15:val="{9AE9950B-CB7B-461E-96F7-46857839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8A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0A335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0A0DB2"/>
    <w:rPr>
      <w:b/>
      <w:bCs/>
    </w:rPr>
  </w:style>
  <w:style w:type="character" w:customStyle="1" w:styleId="czeinternetowe">
    <w:name w:val="Łącze internetowe"/>
    <w:uiPriority w:val="99"/>
    <w:semiHidden/>
    <w:unhideWhenUsed/>
    <w:rsid w:val="000A0DB2"/>
    <w:rPr>
      <w:color w:val="0000FF"/>
      <w:u w:val="single"/>
    </w:rPr>
  </w:style>
  <w:style w:type="character" w:customStyle="1" w:styleId="TekstpodstawowyZnak">
    <w:name w:val="Tekst podstawowy Znak"/>
    <w:link w:val="Tretekstu"/>
    <w:semiHidden/>
    <w:rsid w:val="00440C00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ListLabel1">
    <w:name w:val="ListLabel 1"/>
    <w:rsid w:val="003D119F"/>
    <w:rPr>
      <w:rFonts w:cs="Courier New"/>
    </w:rPr>
  </w:style>
  <w:style w:type="paragraph" w:styleId="Nagwek">
    <w:name w:val="header"/>
    <w:basedOn w:val="Normalny"/>
    <w:next w:val="Tretekstu"/>
    <w:rsid w:val="003D11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440C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pl-PL"/>
    </w:rPr>
  </w:style>
  <w:style w:type="paragraph" w:styleId="Lista">
    <w:name w:val="List"/>
    <w:basedOn w:val="Tretekstu"/>
    <w:rsid w:val="003D119F"/>
    <w:rPr>
      <w:rFonts w:ascii="Georgia" w:hAnsi="Georgia" w:cs="Mangal"/>
    </w:rPr>
  </w:style>
  <w:style w:type="paragraph" w:styleId="Podpis">
    <w:name w:val="Signature"/>
    <w:basedOn w:val="Normalny"/>
    <w:rsid w:val="003D119F"/>
    <w:pPr>
      <w:suppressLineNumbers/>
      <w:spacing w:before="120" w:after="120"/>
    </w:pPr>
    <w:rPr>
      <w:rFonts w:ascii="Georgia" w:hAnsi="Georgia" w:cs="Mangal"/>
      <w:i/>
      <w:iCs/>
      <w:sz w:val="24"/>
      <w:szCs w:val="24"/>
    </w:rPr>
  </w:style>
  <w:style w:type="paragraph" w:customStyle="1" w:styleId="Indeks">
    <w:name w:val="Indeks"/>
    <w:basedOn w:val="Normalny"/>
    <w:rsid w:val="003D119F"/>
    <w:pPr>
      <w:suppressLineNumbers/>
    </w:pPr>
    <w:rPr>
      <w:rFonts w:ascii="Georgia" w:hAnsi="Georgia"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35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34037A"/>
    <w:pPr>
      <w:ind w:left="720"/>
      <w:contextualSpacing/>
    </w:pPr>
  </w:style>
  <w:style w:type="table" w:styleId="Tabela-Siatka">
    <w:name w:val="Table Grid"/>
    <w:basedOn w:val="Standardowy"/>
    <w:uiPriority w:val="59"/>
    <w:rsid w:val="00F06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19F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D119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3D119F"/>
    <w:rPr>
      <w:sz w:val="16"/>
      <w:szCs w:val="16"/>
    </w:rPr>
  </w:style>
  <w:style w:type="paragraph" w:customStyle="1" w:styleId="Default">
    <w:name w:val="Default"/>
    <w:rsid w:val="00AE6CE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97BBB"/>
    <w:rPr>
      <w:b/>
      <w:bCs/>
      <w:i w:val="0"/>
      <w:iCs w:val="0"/>
    </w:rPr>
  </w:style>
  <w:style w:type="character" w:customStyle="1" w:styleId="st1">
    <w:name w:val="st1"/>
    <w:basedOn w:val="Domylnaczcionkaakapitu"/>
    <w:rsid w:val="00297BBB"/>
  </w:style>
  <w:style w:type="paragraph" w:styleId="Stopka">
    <w:name w:val="footer"/>
    <w:basedOn w:val="Normalny"/>
    <w:link w:val="StopkaZnak"/>
    <w:uiPriority w:val="99"/>
    <w:unhideWhenUsed/>
    <w:rsid w:val="00E01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0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09972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0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09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54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93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37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2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34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Bucka</dc:creator>
  <cp:lastModifiedBy>Maria Bucka</cp:lastModifiedBy>
  <cp:revision>3</cp:revision>
  <dcterms:created xsi:type="dcterms:W3CDTF">2025-10-03T06:58:00Z</dcterms:created>
  <dcterms:modified xsi:type="dcterms:W3CDTF">2025-10-16T09:57:00Z</dcterms:modified>
  <dc:language>pl-PL</dc:language>
</cp:coreProperties>
</file>